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045" w:rsidRDefault="00C311B9">
      <w:pPr>
        <w:pStyle w:val="Standard"/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毒品防制基金收支保管及運用辦法</w:t>
      </w:r>
    </w:p>
    <w:p w:rsidR="00FD0CF1" w:rsidRPr="00FD0CF1" w:rsidRDefault="00FD0CF1" w:rsidP="00FD0CF1">
      <w:pPr>
        <w:pStyle w:val="Standard"/>
        <w:spacing w:before="240" w:after="240" w:line="460" w:lineRule="exact"/>
        <w:jc w:val="right"/>
        <w:rPr>
          <w:rFonts w:ascii="標楷體" w:eastAsia="標楷體" w:hAnsi="標楷體" w:hint="eastAsia"/>
          <w:sz w:val="20"/>
        </w:rPr>
      </w:pPr>
      <w:r w:rsidRPr="00FD0CF1">
        <w:rPr>
          <w:rFonts w:ascii="標楷體" w:eastAsia="標楷體" w:hAnsi="標楷體" w:hint="eastAsia"/>
          <w:sz w:val="20"/>
        </w:rPr>
        <w:t>中華民國112年9月28日院授主機法字第1120201935</w:t>
      </w:r>
      <w:r w:rsidRPr="00FD0CF1">
        <w:rPr>
          <w:rFonts w:ascii="標楷體" w:eastAsia="標楷體" w:hAnsi="標楷體"/>
          <w:sz w:val="20"/>
        </w:rPr>
        <w:t>A</w:t>
      </w:r>
      <w:r w:rsidRPr="00FD0CF1">
        <w:rPr>
          <w:rFonts w:ascii="標楷體" w:eastAsia="標楷體" w:hAnsi="標楷體" w:hint="eastAsia"/>
          <w:sz w:val="20"/>
        </w:rPr>
        <w:t>號</w:t>
      </w:r>
      <w:r>
        <w:rPr>
          <w:rFonts w:ascii="標楷體" w:eastAsia="標楷體" w:hAnsi="標楷體" w:hint="eastAsia"/>
          <w:sz w:val="20"/>
        </w:rPr>
        <w:t>令</w:t>
      </w:r>
    </w:p>
    <w:p w:rsidR="008F6045" w:rsidRDefault="00C311B9">
      <w:pPr>
        <w:pStyle w:val="Standard"/>
        <w:spacing w:line="460" w:lineRule="exact"/>
        <w:ind w:left="1481" w:hanging="1481"/>
        <w:jc w:val="both"/>
      </w:pPr>
      <w:r>
        <w:rPr>
          <w:rFonts w:ascii="標楷體" w:eastAsia="標楷體" w:hAnsi="標楷體"/>
          <w:sz w:val="28"/>
          <w:szCs w:val="28"/>
        </w:rPr>
        <w:t>第  一  條    為推動毒品防制業務，特依毒品危害防制條例(以下簡稱本條例)第二條之二第一項規定，設置毒品防制基金(以下簡稱本基金)，並依預算法第二十一條規定，訂定本辦法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。</w:t>
      </w:r>
    </w:p>
    <w:p w:rsidR="008F6045" w:rsidRDefault="00C311B9">
      <w:pPr>
        <w:pStyle w:val="Standard"/>
        <w:spacing w:line="460" w:lineRule="exact"/>
        <w:ind w:left="1485" w:hanging="1540"/>
        <w:jc w:val="both"/>
      </w:pPr>
      <w:r>
        <w:rPr>
          <w:rFonts w:ascii="標楷體" w:eastAsia="標楷體" w:hAnsi="標楷體"/>
          <w:sz w:val="28"/>
          <w:szCs w:val="28"/>
        </w:rPr>
        <w:t>第  二  條     本基金為預算法第四條第一項第二款所定之特種基金，編製附屬單位預算，以法務部(以下簡稱本部)為主管機關。</w:t>
      </w:r>
    </w:p>
    <w:p w:rsidR="008F6045" w:rsidRDefault="00C311B9">
      <w:pPr>
        <w:pStyle w:val="Standard"/>
        <w:spacing w:line="460" w:lineRule="exact"/>
        <w:ind w:left="1485" w:hanging="1540"/>
        <w:jc w:val="both"/>
      </w:pPr>
      <w:r>
        <w:rPr>
          <w:rFonts w:ascii="標楷體" w:eastAsia="標楷體" w:hAnsi="標楷體"/>
          <w:sz w:val="28"/>
          <w:szCs w:val="28"/>
        </w:rPr>
        <w:t>第  三  條     本基金之來源如下：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一、循預算程序之撥款。</w:t>
      </w:r>
    </w:p>
    <w:p w:rsidR="008F6045" w:rsidRDefault="00C311B9">
      <w:pPr>
        <w:pStyle w:val="Standard"/>
        <w:spacing w:line="460" w:lineRule="exact"/>
        <w:ind w:left="2636" w:hanging="560"/>
        <w:jc w:val="both"/>
      </w:pPr>
      <w:r>
        <w:rPr>
          <w:rFonts w:ascii="標楷體" w:eastAsia="標楷體" w:hAnsi="標楷體"/>
          <w:sz w:val="28"/>
          <w:szCs w:val="28"/>
        </w:rPr>
        <w:t>二、犯本條例之罪所科罰金及沒收、追徵所得款項之部分提撥。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三、違反本條例所處罰鍰之部分提撥。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四、基金孳息收入。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五、捐贈收入。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六、其他有關收入。</w:t>
      </w:r>
    </w:p>
    <w:p w:rsidR="008F6045" w:rsidRDefault="00C311B9">
      <w:pPr>
        <w:pStyle w:val="Standard"/>
        <w:spacing w:line="460" w:lineRule="exact"/>
        <w:ind w:left="1485" w:hanging="1540"/>
        <w:jc w:val="both"/>
      </w:pPr>
      <w:r>
        <w:rPr>
          <w:rFonts w:ascii="標楷體" w:eastAsia="標楷體" w:hAnsi="標楷體"/>
          <w:sz w:val="28"/>
          <w:szCs w:val="28"/>
        </w:rPr>
        <w:t>第  四  條     本基金之用途如下：</w:t>
      </w:r>
    </w:p>
    <w:p w:rsidR="008F6045" w:rsidRDefault="00C311B9">
      <w:pPr>
        <w:pStyle w:val="Standard"/>
        <w:spacing w:line="460" w:lineRule="exact"/>
        <w:ind w:left="2636" w:hanging="560"/>
        <w:jc w:val="both"/>
      </w:pPr>
      <w:r>
        <w:rPr>
          <w:rFonts w:ascii="標楷體" w:eastAsia="標楷體" w:hAnsi="標楷體"/>
          <w:sz w:val="28"/>
          <w:szCs w:val="28"/>
        </w:rPr>
        <w:t>一、補助直轄市、縣（市）政府辦理本條例第二條之一第一項所列事項。</w:t>
      </w:r>
    </w:p>
    <w:p w:rsidR="008F6045" w:rsidRDefault="00C311B9">
      <w:pPr>
        <w:pStyle w:val="Standard"/>
        <w:spacing w:line="460" w:lineRule="exact"/>
        <w:ind w:left="2636" w:hanging="560"/>
        <w:jc w:val="both"/>
      </w:pPr>
      <w:r>
        <w:rPr>
          <w:rFonts w:ascii="標楷體" w:eastAsia="標楷體" w:hAnsi="標楷體"/>
          <w:sz w:val="28"/>
          <w:szCs w:val="28"/>
        </w:rPr>
        <w:t>二、辦理或補助毒品檢驗、戒癮治療及研究等相關業務。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三、辦理或補助毒品防制宣導。</w:t>
      </w:r>
    </w:p>
    <w:p w:rsidR="008F6045" w:rsidRDefault="00C311B9">
      <w:pPr>
        <w:pStyle w:val="Standard"/>
        <w:spacing w:line="460" w:lineRule="exact"/>
        <w:ind w:left="2636" w:hanging="560"/>
        <w:jc w:val="both"/>
      </w:pPr>
      <w:r>
        <w:rPr>
          <w:rFonts w:ascii="標楷體" w:eastAsia="標楷體" w:hAnsi="標楷體"/>
          <w:sz w:val="28"/>
          <w:szCs w:val="28"/>
        </w:rPr>
        <w:t>四、提供或補助施用毒品者安置、就醫、就學、就業及家庭扶助等輔導與協助。</w:t>
      </w:r>
    </w:p>
    <w:p w:rsidR="008F6045" w:rsidRDefault="00C311B9">
      <w:pPr>
        <w:pStyle w:val="Standard"/>
        <w:spacing w:line="460" w:lineRule="exact"/>
        <w:ind w:left="2636" w:hanging="560"/>
        <w:jc w:val="both"/>
      </w:pPr>
      <w:r>
        <w:rPr>
          <w:rFonts w:ascii="標楷體" w:eastAsia="標楷體" w:hAnsi="標楷體"/>
          <w:sz w:val="28"/>
          <w:szCs w:val="28"/>
        </w:rPr>
        <w:t>五、辦理或補助與其他國家或地區間毒品防制工作之合作及交流事項。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六、辦理或補助其他毒品防制相關業務。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七、管理及總務支出。</w:t>
      </w:r>
    </w:p>
    <w:p w:rsidR="008F6045" w:rsidRDefault="00C311B9">
      <w:pPr>
        <w:pStyle w:val="Standard"/>
        <w:spacing w:line="460" w:lineRule="exact"/>
        <w:ind w:left="1555" w:firstLine="529"/>
        <w:jc w:val="both"/>
      </w:pPr>
      <w:r>
        <w:rPr>
          <w:rFonts w:ascii="標楷體" w:eastAsia="標楷體" w:hAnsi="標楷體"/>
          <w:sz w:val="28"/>
          <w:szCs w:val="28"/>
        </w:rPr>
        <w:t>八、其他相關支出。</w:t>
      </w:r>
    </w:p>
    <w:p w:rsidR="00FD0CF1" w:rsidRPr="00FD0CF1" w:rsidRDefault="00FD0CF1" w:rsidP="00FD0CF1">
      <w:pPr>
        <w:pStyle w:val="Web"/>
        <w:spacing w:before="0" w:beforeAutospacing="0" w:line="459" w:lineRule="atLeast"/>
        <w:ind w:left="1400" w:hanging="1400"/>
        <w:jc w:val="both"/>
        <w:rPr>
          <w:rFonts w:ascii="標楷體" w:eastAsia="標楷體" w:hAnsi="標楷體" w:cs="Times New Roman"/>
          <w:kern w:val="3"/>
          <w:sz w:val="28"/>
          <w:szCs w:val="28"/>
        </w:rPr>
      </w:pPr>
      <w:r w:rsidRPr="00FD0CF1">
        <w:rPr>
          <w:rFonts w:ascii="標楷體" w:eastAsia="標楷體" w:hAnsi="標楷體" w:cs="Times New Roman" w:hint="eastAsia"/>
          <w:kern w:val="3"/>
          <w:sz w:val="28"/>
          <w:szCs w:val="28"/>
        </w:rPr>
        <w:lastRenderedPageBreak/>
        <w:t>第　五　條　　本基金之收支、保管及運用，應設毒品防制基金管理會（以下簡稱本會），置委員十三人至十七人，其中一人為召集人，由本部部長兼任；一人為副召集人，由本部次長兼任；其餘委員，除由本部就下列人員聘（派）兼外，得視本基金之推動方向、政策重點及業務需要，就相關機關（構）、民間團體代表及有關人員聘（派）兼之：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一、本部代表一人。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二、衛生福利部代表一人。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三、教育部代表一人。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四、勞動部代表一人。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五、內政部代表一人。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六、行政院主計總處代表一人。</w:t>
      </w:r>
    </w:p>
    <w:p w:rsidR="00FD0CF1" w:rsidRPr="00FD0CF1" w:rsidRDefault="00FD0CF1" w:rsidP="00FD0CF1">
      <w:pPr>
        <w:pStyle w:val="Standard"/>
        <w:spacing w:line="460" w:lineRule="exact"/>
        <w:ind w:left="1555" w:firstLine="529"/>
        <w:jc w:val="both"/>
        <w:rPr>
          <w:rFonts w:ascii="標楷體" w:eastAsia="標楷體" w:hAnsi="標楷體" w:hint="eastAsia"/>
          <w:sz w:val="28"/>
          <w:szCs w:val="28"/>
        </w:rPr>
      </w:pPr>
      <w:r w:rsidRPr="00FD0CF1">
        <w:rPr>
          <w:rFonts w:ascii="標楷體" w:eastAsia="標楷體" w:hAnsi="標楷體" w:hint="eastAsia"/>
          <w:sz w:val="28"/>
          <w:szCs w:val="28"/>
        </w:rPr>
        <w:t>七、專家、學者五人。</w:t>
      </w:r>
    </w:p>
    <w:p w:rsidR="00FD0CF1" w:rsidRPr="00FD0CF1" w:rsidRDefault="00FD0CF1" w:rsidP="00FD0CF1">
      <w:pPr>
        <w:pStyle w:val="Web"/>
        <w:spacing w:before="0" w:beforeAutospacing="0" w:line="459" w:lineRule="atLeast"/>
        <w:ind w:firstLine="1962"/>
        <w:jc w:val="both"/>
        <w:rPr>
          <w:rFonts w:ascii="標楷體" w:eastAsia="標楷體" w:hAnsi="標楷體" w:cs="Times New Roman" w:hint="eastAsia"/>
          <w:kern w:val="3"/>
          <w:sz w:val="28"/>
          <w:szCs w:val="28"/>
        </w:rPr>
      </w:pPr>
      <w:r w:rsidRPr="00FD0CF1">
        <w:rPr>
          <w:rFonts w:ascii="標楷體" w:eastAsia="標楷體" w:hAnsi="標楷體" w:cs="Times New Roman" w:hint="eastAsia"/>
          <w:kern w:val="3"/>
          <w:sz w:val="28"/>
          <w:szCs w:val="28"/>
        </w:rPr>
        <w:t>本會委員任一性別比例，不得少於委員總人數三分之一</w:t>
      </w:r>
    </w:p>
    <w:p w:rsidR="008F6045" w:rsidRDefault="00C311B9">
      <w:pPr>
        <w:pStyle w:val="Standard"/>
        <w:tabs>
          <w:tab w:val="left" w:pos="1966"/>
        </w:tabs>
        <w:spacing w:line="460" w:lineRule="exact"/>
        <w:ind w:left="1426" w:hanging="1467"/>
        <w:jc w:val="both"/>
      </w:pPr>
      <w:r>
        <w:rPr>
          <w:rFonts w:ascii="標楷體" w:eastAsia="標楷體" w:hAnsi="標楷體"/>
          <w:sz w:val="28"/>
          <w:szCs w:val="28"/>
        </w:rPr>
        <w:t>第  六  條    本會委員任期二年，期滿得續聘之。有關機關（構）或民間團體代表職務異動時，應改派代表補足原任期；專家或學者出缺時，應予補聘，其任期至原聘任委員任期屆滿之日止。</w:t>
      </w:r>
    </w:p>
    <w:p w:rsidR="008F6045" w:rsidRDefault="00C311B9">
      <w:pPr>
        <w:pStyle w:val="Standard"/>
        <w:spacing w:line="460" w:lineRule="exact"/>
        <w:ind w:left="1426" w:hanging="1467"/>
        <w:jc w:val="both"/>
      </w:pPr>
      <w:r>
        <w:rPr>
          <w:rFonts w:ascii="標楷體" w:eastAsia="標楷體" w:hAnsi="標楷體"/>
          <w:sz w:val="28"/>
          <w:szCs w:val="28"/>
        </w:rPr>
        <w:t>第  七  條    本會置執行秘書一人，承召集人之命，綜理會務；另置工作人員若干人，由本部現職人員派兼之，襄理會務或辦理所任事務。</w:t>
      </w:r>
    </w:p>
    <w:p w:rsidR="008F6045" w:rsidRDefault="00C311B9">
      <w:pPr>
        <w:pStyle w:val="Standard"/>
        <w:spacing w:line="460" w:lineRule="exact"/>
        <w:ind w:left="1426" w:hanging="1467"/>
        <w:jc w:val="both"/>
      </w:pPr>
      <w:r>
        <w:rPr>
          <w:rFonts w:ascii="標楷體" w:eastAsia="標楷體" w:hAnsi="標楷體"/>
          <w:sz w:val="28"/>
          <w:szCs w:val="28"/>
        </w:rPr>
        <w:t>第  八  條     本會委員及派兼人員，均為無給職。</w:t>
      </w:r>
    </w:p>
    <w:p w:rsidR="008F6045" w:rsidRDefault="00C311B9">
      <w:pPr>
        <w:pStyle w:val="Standard"/>
        <w:spacing w:line="460" w:lineRule="exact"/>
        <w:ind w:left="1426" w:hanging="1467"/>
        <w:jc w:val="both"/>
      </w:pPr>
      <w:r>
        <w:rPr>
          <w:rFonts w:ascii="標楷體" w:eastAsia="標楷體" w:hAnsi="標楷體"/>
          <w:sz w:val="28"/>
          <w:szCs w:val="28"/>
        </w:rPr>
        <w:t>第  九  條     本會之任務如下：</w:t>
      </w:r>
    </w:p>
    <w:p w:rsidR="008F6045" w:rsidRDefault="00C311B9">
      <w:pPr>
        <w:pStyle w:val="Standard"/>
        <w:spacing w:line="460" w:lineRule="exact"/>
        <w:ind w:left="1366" w:firstLine="692"/>
        <w:jc w:val="both"/>
      </w:pPr>
      <w:r>
        <w:rPr>
          <w:rFonts w:ascii="標楷體" w:eastAsia="標楷體" w:hAnsi="標楷體"/>
          <w:sz w:val="28"/>
          <w:szCs w:val="28"/>
        </w:rPr>
        <w:t>一、本基金收支、保管及運用之審議。</w:t>
      </w:r>
    </w:p>
    <w:p w:rsidR="008F6045" w:rsidRDefault="00C311B9">
      <w:pPr>
        <w:pStyle w:val="Standard"/>
        <w:spacing w:line="460" w:lineRule="exact"/>
        <w:ind w:left="1366" w:firstLine="700"/>
        <w:jc w:val="both"/>
      </w:pPr>
      <w:r>
        <w:rPr>
          <w:rFonts w:ascii="標楷體" w:eastAsia="標楷體" w:hAnsi="標楷體"/>
          <w:sz w:val="28"/>
          <w:szCs w:val="28"/>
        </w:rPr>
        <w:t>二、本基金年度預算及決算之審議。</w:t>
      </w:r>
    </w:p>
    <w:p w:rsidR="008F6045" w:rsidRDefault="00C311B9">
      <w:pPr>
        <w:pStyle w:val="Standard"/>
        <w:spacing w:line="460" w:lineRule="exact"/>
        <w:ind w:left="1366" w:firstLine="700"/>
        <w:jc w:val="both"/>
      </w:pPr>
      <w:r>
        <w:rPr>
          <w:rFonts w:ascii="標楷體" w:eastAsia="標楷體" w:hAnsi="標楷體"/>
          <w:sz w:val="28"/>
          <w:szCs w:val="28"/>
        </w:rPr>
        <w:t>三、本基金運用執行情形之考核。</w:t>
      </w:r>
    </w:p>
    <w:p w:rsidR="008F6045" w:rsidRDefault="00C311B9">
      <w:pPr>
        <w:pStyle w:val="Standard"/>
        <w:spacing w:line="460" w:lineRule="exact"/>
        <w:ind w:left="2622" w:hanging="560"/>
        <w:jc w:val="both"/>
      </w:pPr>
      <w:r>
        <w:rPr>
          <w:rFonts w:ascii="標楷體" w:eastAsia="標楷體" w:hAnsi="標楷體"/>
          <w:sz w:val="28"/>
          <w:szCs w:val="28"/>
        </w:rPr>
        <w:t>四、本基金補助方向、重點補助對象及優先運用項目之決定。</w:t>
      </w:r>
    </w:p>
    <w:p w:rsidR="008F6045" w:rsidRDefault="00C311B9">
      <w:pPr>
        <w:pStyle w:val="Standard"/>
        <w:spacing w:line="460" w:lineRule="exact"/>
        <w:ind w:left="1366" w:firstLine="700"/>
        <w:jc w:val="both"/>
      </w:pPr>
      <w:r>
        <w:rPr>
          <w:rFonts w:ascii="標楷體" w:eastAsia="標楷體" w:hAnsi="標楷體"/>
          <w:sz w:val="28"/>
          <w:szCs w:val="28"/>
        </w:rPr>
        <w:t>五、其他有關事項。</w:t>
      </w:r>
    </w:p>
    <w:p w:rsidR="008F6045" w:rsidRDefault="00C311B9">
      <w:pPr>
        <w:pStyle w:val="Standard"/>
        <w:spacing w:line="460" w:lineRule="exact"/>
        <w:ind w:left="1426" w:hanging="1467"/>
        <w:jc w:val="both"/>
      </w:pPr>
      <w:r>
        <w:rPr>
          <w:rFonts w:ascii="標楷體" w:eastAsia="標楷體" w:hAnsi="標楷體"/>
          <w:sz w:val="28"/>
          <w:szCs w:val="28"/>
        </w:rPr>
        <w:t>第  十  條     本會原則每三個月至六個月開會一次，每年至少召開會議三次，必要時得召開臨時會議，均由召集人召集之；召集人因故不能出席時，由副召集人代理之。</w:t>
      </w:r>
    </w:p>
    <w:p w:rsidR="008F6045" w:rsidRDefault="00C311B9">
      <w:pPr>
        <w:pStyle w:val="Standard"/>
        <w:spacing w:line="460" w:lineRule="exact"/>
        <w:ind w:left="1414" w:firstLine="602"/>
        <w:jc w:val="both"/>
      </w:pPr>
      <w:r>
        <w:rPr>
          <w:rFonts w:ascii="標楷體" w:eastAsia="標楷體" w:hAnsi="標楷體"/>
          <w:sz w:val="28"/>
          <w:szCs w:val="28"/>
        </w:rPr>
        <w:t>本會之會議應有全體委員過半數之出席，始得召開；應有出席委員過半數之同意始得決議；正反意見同數時，取決於主席。</w:t>
      </w:r>
    </w:p>
    <w:p w:rsidR="008F6045" w:rsidRDefault="00C311B9">
      <w:pPr>
        <w:pStyle w:val="Standard"/>
        <w:spacing w:line="460" w:lineRule="exact"/>
        <w:ind w:left="1414" w:firstLine="566"/>
        <w:jc w:val="both"/>
      </w:pPr>
      <w:r>
        <w:rPr>
          <w:rFonts w:ascii="標楷體" w:eastAsia="標楷體" w:hAnsi="標楷體"/>
          <w:sz w:val="28"/>
          <w:szCs w:val="28"/>
        </w:rPr>
        <w:t>前項會議，專家及學者之委員應親自出席，不得代理；屬機關(構)及民間團體代表兼任之委員，因故不能出席時，得指派代表出席，並參與會議發言及表決。</w:t>
      </w:r>
    </w:p>
    <w:p w:rsidR="008F6045" w:rsidRDefault="00C311B9">
      <w:pPr>
        <w:pStyle w:val="Standard"/>
        <w:spacing w:line="460" w:lineRule="exact"/>
        <w:ind w:left="1423" w:hanging="1397"/>
        <w:jc w:val="both"/>
      </w:pPr>
      <w:r>
        <w:rPr>
          <w:rFonts w:ascii="標楷體" w:eastAsia="標楷體" w:hAnsi="標楷體"/>
          <w:sz w:val="28"/>
          <w:szCs w:val="28"/>
        </w:rPr>
        <w:t>第 十一 條    本基金之保管及運用應注重收益性及安全性，其存儲並應依公庫法及其相關法令規定辦理。</w:t>
      </w:r>
    </w:p>
    <w:p w:rsidR="008F6045" w:rsidRPr="00FD0CF1" w:rsidRDefault="00C311B9" w:rsidP="00FD0CF1">
      <w:pPr>
        <w:pStyle w:val="Web"/>
        <w:spacing w:line="459" w:lineRule="atLeast"/>
        <w:ind w:left="1400" w:hanging="1400"/>
        <w:jc w:val="both"/>
      </w:pPr>
      <w:r>
        <w:rPr>
          <w:rFonts w:ascii="標楷體" w:eastAsia="標楷體" w:hAnsi="標楷體"/>
          <w:sz w:val="28"/>
          <w:szCs w:val="28"/>
        </w:rPr>
        <w:t xml:space="preserve">第 十二 條    </w:t>
      </w:r>
      <w:r w:rsidR="00FD0CF1">
        <w:rPr>
          <w:rFonts w:ascii="標楷體" w:eastAsia="標楷體" w:hAnsi="標楷體" w:hint="eastAsia"/>
          <w:sz w:val="28"/>
          <w:szCs w:val="28"/>
        </w:rPr>
        <w:t>本基金爲增加收益，得購買政府公債、國庫券或其他短期票券。</w:t>
      </w:r>
    </w:p>
    <w:p w:rsidR="008F6045" w:rsidRDefault="00C311B9">
      <w:pPr>
        <w:pStyle w:val="Standard"/>
        <w:spacing w:line="460" w:lineRule="exact"/>
        <w:ind w:left="1423" w:hanging="1397"/>
        <w:jc w:val="both"/>
      </w:pPr>
      <w:r>
        <w:rPr>
          <w:rFonts w:ascii="標楷體" w:eastAsia="標楷體" w:hAnsi="標楷體"/>
          <w:sz w:val="28"/>
          <w:szCs w:val="28"/>
        </w:rPr>
        <w:t>第 十三 條    本基金有關預算編製與執行及決算編造，應依預算法、會計法、決算法、審計法及相關法令規定辦理。</w:t>
      </w:r>
    </w:p>
    <w:p w:rsidR="008F6045" w:rsidRDefault="00C311B9">
      <w:pPr>
        <w:pStyle w:val="Standard"/>
        <w:spacing w:line="460" w:lineRule="exact"/>
        <w:ind w:left="1424" w:hanging="1383"/>
        <w:jc w:val="both"/>
      </w:pPr>
      <w:r>
        <w:rPr>
          <w:rFonts w:ascii="標楷體" w:eastAsia="標楷體" w:hAnsi="標楷體"/>
          <w:sz w:val="28"/>
          <w:szCs w:val="28"/>
        </w:rPr>
        <w:t>第 十四 條    本基金會計事務之處理，應依規定訂定會計制度。</w:t>
      </w:r>
    </w:p>
    <w:p w:rsidR="008F6045" w:rsidRPr="00FD0CF1" w:rsidRDefault="00C311B9" w:rsidP="00FD0CF1">
      <w:pPr>
        <w:pStyle w:val="Web"/>
        <w:spacing w:line="459" w:lineRule="atLeast"/>
        <w:ind w:left="1400" w:hanging="1400"/>
        <w:jc w:val="both"/>
      </w:pPr>
      <w:r>
        <w:rPr>
          <w:rFonts w:ascii="標楷體" w:eastAsia="標楷體" w:hAnsi="標楷體"/>
          <w:sz w:val="28"/>
          <w:szCs w:val="28"/>
        </w:rPr>
        <w:t xml:space="preserve">第 十五 條    </w:t>
      </w:r>
      <w:r w:rsidR="00FD0CF1">
        <w:rPr>
          <w:rFonts w:ascii="標楷體" w:eastAsia="標楷體" w:hAnsi="標楷體" w:hint="eastAsia"/>
          <w:sz w:val="28"/>
          <w:szCs w:val="28"/>
        </w:rPr>
        <w:t>本基金年度決算如有賸餘，應依規定累存基金餘額或解繳國庫。</w:t>
      </w:r>
    </w:p>
    <w:p w:rsidR="008F6045" w:rsidRDefault="00C311B9">
      <w:pPr>
        <w:pStyle w:val="Standard"/>
        <w:spacing w:line="460" w:lineRule="exact"/>
        <w:ind w:left="1424" w:hanging="1383"/>
        <w:jc w:val="both"/>
      </w:pPr>
      <w:r>
        <w:rPr>
          <w:rFonts w:ascii="標楷體" w:eastAsia="標楷體" w:hAnsi="標楷體"/>
          <w:sz w:val="28"/>
          <w:szCs w:val="28"/>
        </w:rPr>
        <w:t>第 十六 條    本基金結束時，應予結算，其餘存權益應解繳國庫。</w:t>
      </w:r>
    </w:p>
    <w:p w:rsidR="008F6045" w:rsidRDefault="00C311B9">
      <w:pPr>
        <w:pStyle w:val="Standard"/>
        <w:spacing w:line="460" w:lineRule="exact"/>
        <w:ind w:left="1424" w:hanging="13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 十七 條    本辦法自中華民國一百零八年一月一日施行。</w:t>
      </w:r>
    </w:p>
    <w:p w:rsidR="00FD0CF1" w:rsidRPr="00FD0CF1" w:rsidRDefault="00FD0CF1" w:rsidP="00FD0CF1">
      <w:pPr>
        <w:pStyle w:val="Web"/>
        <w:spacing w:before="0" w:beforeAutospacing="0" w:line="459" w:lineRule="atLeast"/>
        <w:ind w:firstLine="1962"/>
        <w:rPr>
          <w:rFonts w:hint="eastAsia"/>
        </w:rPr>
      </w:pPr>
      <w:r>
        <w:rPr>
          <w:rFonts w:ascii="標楷體" w:eastAsia="標楷體" w:hAnsi="標楷體" w:hint="eastAsia"/>
          <w:sz w:val="28"/>
          <w:szCs w:val="28"/>
        </w:rPr>
        <w:t>本辦法修正條文自發布日施行。</w:t>
      </w:r>
    </w:p>
    <w:sectPr w:rsidR="00FD0CF1" w:rsidRPr="00FD0CF1">
      <w:pgSz w:w="11906" w:h="16838"/>
      <w:pgMar w:top="1418" w:right="1418" w:bottom="1418" w:left="170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D37" w:rsidRDefault="00555D37">
      <w:r>
        <w:separator/>
      </w:r>
    </w:p>
  </w:endnote>
  <w:endnote w:type="continuationSeparator" w:id="0">
    <w:p w:rsidR="00555D37" w:rsidRDefault="0055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D37" w:rsidRDefault="00555D37">
      <w:r>
        <w:rPr>
          <w:color w:val="000000"/>
        </w:rPr>
        <w:separator/>
      </w:r>
    </w:p>
  </w:footnote>
  <w:footnote w:type="continuationSeparator" w:id="0">
    <w:p w:rsidR="00555D37" w:rsidRDefault="00555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B0224"/>
    <w:multiLevelType w:val="multilevel"/>
    <w:tmpl w:val="85EAFCAE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045"/>
    <w:rsid w:val="004307ED"/>
    <w:rsid w:val="004A5454"/>
    <w:rsid w:val="00555D37"/>
    <w:rsid w:val="008F6045"/>
    <w:rsid w:val="00C311B9"/>
    <w:rsid w:val="00FD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B04A0B"/>
  <w15:docId w15:val="{350F4FF2-F7B7-4302-9742-7C8BAB8D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Title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kern w:val="0"/>
      <w:sz w:val="18"/>
      <w:szCs w:val="18"/>
    </w:rPr>
  </w:style>
  <w:style w:type="character" w:customStyle="1" w:styleId="HeaderChar">
    <w:name w:val="Header Char"/>
    <w:rPr>
      <w:kern w:val="3"/>
      <w:sz w:val="20"/>
    </w:rPr>
  </w:style>
  <w:style w:type="character" w:customStyle="1" w:styleId="a9">
    <w:name w:val="頁首 字元"/>
    <w:basedOn w:val="a0"/>
    <w:rPr>
      <w:rFonts w:cs="Times New Roman"/>
      <w:sz w:val="20"/>
      <w:szCs w:val="20"/>
    </w:rPr>
  </w:style>
  <w:style w:type="character" w:customStyle="1" w:styleId="FooterChar">
    <w:name w:val="Footer Char"/>
    <w:rPr>
      <w:kern w:val="3"/>
      <w:sz w:val="20"/>
    </w:rPr>
  </w:style>
  <w:style w:type="character" w:customStyle="1" w:styleId="aa">
    <w:name w:val="頁尾 字元"/>
    <w:basedOn w:val="a0"/>
    <w:rPr>
      <w:rFonts w:cs="Times New Roman"/>
      <w:sz w:val="20"/>
      <w:szCs w:val="20"/>
    </w:rPr>
  </w:style>
  <w:style w:type="character" w:customStyle="1" w:styleId="BalloonTextChar">
    <w:name w:val="Balloon Text Char"/>
    <w:rPr>
      <w:rFonts w:ascii="Cambria" w:eastAsia="新細明體" w:hAnsi="Cambria"/>
      <w:sz w:val="18"/>
    </w:rPr>
  </w:style>
  <w:style w:type="character" w:customStyle="1" w:styleId="TitleChar">
    <w:name w:val="Title Char"/>
    <w:basedOn w:val="a0"/>
    <w:rPr>
      <w:rFonts w:ascii="Cambria" w:hAnsi="Cambria" w:cs="Times New Roman"/>
      <w:b/>
      <w:bCs/>
      <w:sz w:val="32"/>
      <w:szCs w:val="32"/>
    </w:rPr>
  </w:style>
  <w:style w:type="character" w:customStyle="1" w:styleId="BodyTextChar">
    <w:name w:val="Body Text Char"/>
    <w:basedOn w:val="a0"/>
    <w:rPr>
      <w:rFonts w:cs="Times New Roman"/>
    </w:rPr>
  </w:style>
  <w:style w:type="character" w:customStyle="1" w:styleId="HeaderChar1">
    <w:name w:val="Header Char1"/>
    <w:basedOn w:val="a0"/>
    <w:rPr>
      <w:rFonts w:cs="Times New Roman"/>
      <w:sz w:val="20"/>
      <w:szCs w:val="20"/>
    </w:rPr>
  </w:style>
  <w:style w:type="character" w:customStyle="1" w:styleId="FooterChar1">
    <w:name w:val="Footer Char1"/>
    <w:basedOn w:val="a0"/>
    <w:rPr>
      <w:rFonts w:cs="Times New Roman"/>
      <w:sz w:val="20"/>
      <w:szCs w:val="20"/>
    </w:rPr>
  </w:style>
  <w:style w:type="character" w:customStyle="1" w:styleId="BalloonTextChar1">
    <w:name w:val="Balloon Text Char1"/>
    <w:basedOn w:val="a0"/>
    <w:rPr>
      <w:rFonts w:ascii="Cambria" w:eastAsia="新細明體" w:hAnsi="Cambria" w:cs="Times New Roman"/>
      <w:sz w:val="2"/>
    </w:rPr>
  </w:style>
  <w:style w:type="numbering" w:customStyle="1" w:styleId="1">
    <w:name w:val="無清單1"/>
    <w:basedOn w:val="a2"/>
    <w:pPr>
      <w:numPr>
        <w:numId w:val="1"/>
      </w:numPr>
    </w:pPr>
  </w:style>
  <w:style w:type="paragraph" w:styleId="Web">
    <w:name w:val="Normal (Web)"/>
    <w:basedOn w:val="a"/>
    <w:uiPriority w:val="99"/>
    <w:unhideWhenUsed/>
    <w:rsid w:val="00FD0CF1"/>
    <w:pPr>
      <w:widowControl/>
      <w:suppressAutoHyphens w:val="0"/>
      <w:autoSpaceDN/>
      <w:spacing w:before="100" w:before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235</Words>
  <Characters>1343</Characters>
  <Application>Microsoft Office Word</Application>
  <DocSecurity>0</DocSecurity>
  <Lines>11</Lines>
  <Paragraphs>3</Paragraphs>
  <ScaleCrop>false</ScaleCrop>
  <Company>MOJ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</dc:creator>
  <cp:lastModifiedBy>詹淑娟</cp:lastModifiedBy>
  <cp:revision>3</cp:revision>
  <cp:lastPrinted>2018-08-21T06:31:00Z</cp:lastPrinted>
  <dcterms:created xsi:type="dcterms:W3CDTF">2023-10-04T02:20:00Z</dcterms:created>
  <dcterms:modified xsi:type="dcterms:W3CDTF">2023-10-04T02:29:00Z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MOJ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